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4EC2" w:rsidR="00EB1C5A" w:rsidP="004321DB" w:rsidRDefault="00EB1C5A" w14:paraId="7AA215F3" w14:textId="77777777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:rsidR="00EB1C5A" w:rsidP="004321DB" w:rsidRDefault="00EB1C5A" w14:paraId="3730F680" w14:textId="11720B3D">
      <w:pPr>
        <w:pStyle w:val="F2-zkladn"/>
        <w:tabs>
          <w:tab w:val="right" w:pos="9070"/>
        </w:tabs>
      </w:pPr>
      <w:r>
        <w:tab/>
      </w:r>
      <w:r w:rsidR="7C25CE9C">
        <w:rPr/>
        <w:t xml:space="preserve"> </w:t>
      </w:r>
      <w:r w:rsidR="00BE16A9">
        <w:rPr/>
        <w:t xml:space="preserve">Praha, </w:t>
      </w:r>
      <w:r w:rsidR="50519165">
        <w:rPr/>
        <w:t xml:space="preserve">31</w:t>
      </w:r>
      <w:r w:rsidR="00BE16A9">
        <w:rPr/>
        <w:t xml:space="preserve">. </w:t>
      </w:r>
      <w:r w:rsidR="00BA2004">
        <w:rPr/>
        <w:t>říj</w:t>
      </w:r>
      <w:r w:rsidR="00BA2004">
        <w:rPr/>
        <w:t>na</w:t>
      </w:r>
      <w:r w:rsidR="625BE913">
        <w:rPr/>
        <w:t xml:space="preserve"> </w:t>
      </w:r>
      <w:r w:rsidR="00BE16A9">
        <w:rPr/>
        <w:t>202</w:t>
      </w:r>
      <w:r w:rsidR="001F501D">
        <w:rPr/>
        <w:t>3</w:t>
      </w:r>
    </w:p>
    <w:p w:rsidR="007A39B8" w:rsidP="007A39B8" w:rsidRDefault="007A39B8" w14:paraId="1D4672CB" w14:textId="77777777">
      <w:pPr>
        <w:tabs>
          <w:tab w:val="right" w:pos="9070"/>
        </w:tabs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Pr="007A39B8" w:rsidR="001F501D" w:rsidP="007A39B8" w:rsidRDefault="48A55F41" w14:paraId="1082AA43" w14:textId="4916089D">
      <w:pPr>
        <w:tabs>
          <w:tab w:val="right" w:pos="9070"/>
        </w:tabs>
        <w:spacing w:after="0" w:line="264" w:lineRule="auto"/>
        <w:jc w:val="center"/>
        <w:rPr>
          <w:rFonts w:ascii="Arial" w:hAnsi="Arial" w:cs="Arial"/>
          <w:b w:val="1"/>
          <w:bCs w:val="1"/>
          <w:sz w:val="26"/>
          <w:szCs w:val="26"/>
          <w:lang w:eastAsia="cs-CZ"/>
        </w:rPr>
      </w:pPr>
      <w:r w:rsidRPr="54C14231" w:rsidR="48A55F41">
        <w:rPr>
          <w:rFonts w:ascii="Arial" w:hAnsi="Arial" w:cs="Arial"/>
          <w:b w:val="1"/>
          <w:bCs w:val="1"/>
          <w:sz w:val="26"/>
          <w:szCs w:val="26"/>
        </w:rPr>
        <w:t xml:space="preserve">Analýza TPA: </w:t>
      </w:r>
      <w:r w:rsidRPr="54C14231" w:rsidR="0D23EB31">
        <w:rPr>
          <w:rFonts w:ascii="Arial" w:hAnsi="Arial" w:cs="Arial"/>
          <w:b w:val="1"/>
          <w:bCs w:val="1"/>
          <w:sz w:val="26"/>
          <w:szCs w:val="26"/>
        </w:rPr>
        <w:t>Aktivita na M&amp;A trhu</w:t>
      </w:r>
      <w:r w:rsidRPr="54C14231" w:rsidR="423EC8DD">
        <w:rPr>
          <w:rFonts w:ascii="Arial" w:hAnsi="Arial" w:cs="Arial"/>
          <w:b w:val="1"/>
          <w:bCs w:val="1"/>
          <w:sz w:val="26"/>
          <w:szCs w:val="26"/>
        </w:rPr>
        <w:t xml:space="preserve"> </w:t>
      </w:r>
      <w:r w:rsidRPr="54C14231" w:rsidR="5C12BFD7">
        <w:rPr>
          <w:rFonts w:ascii="Arial" w:hAnsi="Arial" w:cs="Arial"/>
          <w:b w:val="1"/>
          <w:bCs w:val="1"/>
          <w:sz w:val="26"/>
          <w:szCs w:val="26"/>
        </w:rPr>
        <w:t xml:space="preserve">v regionu CCE </w:t>
      </w:r>
      <w:r w:rsidRPr="54C14231" w:rsidR="0D23EB31">
        <w:rPr>
          <w:rFonts w:ascii="Arial" w:hAnsi="Arial" w:cs="Arial"/>
          <w:b w:val="1"/>
          <w:bCs w:val="1"/>
          <w:sz w:val="26"/>
          <w:szCs w:val="26"/>
        </w:rPr>
        <w:t>v</w:t>
      </w:r>
      <w:r w:rsidRPr="54C14231" w:rsidR="11C053D4">
        <w:rPr>
          <w:rFonts w:ascii="Arial" w:hAnsi="Arial" w:cs="Arial"/>
          <w:b w:val="1"/>
          <w:bCs w:val="1"/>
          <w:sz w:val="26"/>
          <w:szCs w:val="26"/>
        </w:rPr>
        <w:t>e</w:t>
      </w:r>
      <w:r w:rsidRPr="54C14231" w:rsidR="0D23EB31">
        <w:rPr>
          <w:rFonts w:ascii="Arial" w:hAnsi="Arial" w:cs="Arial"/>
          <w:b w:val="1"/>
          <w:bCs w:val="1"/>
          <w:sz w:val="26"/>
          <w:szCs w:val="26"/>
        </w:rPr>
        <w:t xml:space="preserve"> </w:t>
      </w:r>
      <w:r w:rsidRPr="54C14231" w:rsidR="00BA2004">
        <w:rPr>
          <w:rFonts w:ascii="Arial" w:hAnsi="Arial" w:cs="Arial"/>
          <w:b w:val="1"/>
          <w:bCs w:val="1"/>
          <w:sz w:val="26"/>
          <w:szCs w:val="26"/>
        </w:rPr>
        <w:t>třetím</w:t>
      </w:r>
      <w:r w:rsidRPr="54C14231" w:rsidR="007A39B8">
        <w:rPr>
          <w:rFonts w:ascii="Arial" w:hAnsi="Arial" w:cs="Arial"/>
          <w:b w:val="1"/>
          <w:bCs w:val="1"/>
          <w:sz w:val="26"/>
          <w:szCs w:val="26"/>
        </w:rPr>
        <w:t xml:space="preserve"> čtvrtletí</w:t>
      </w:r>
      <w:r w:rsidRPr="54C14231" w:rsidR="0D23EB31">
        <w:rPr>
          <w:rFonts w:ascii="Arial" w:hAnsi="Arial" w:cs="Arial"/>
          <w:b w:val="1"/>
          <w:bCs w:val="1"/>
          <w:sz w:val="26"/>
          <w:szCs w:val="26"/>
        </w:rPr>
        <w:t xml:space="preserve"> </w:t>
      </w:r>
      <w:r w:rsidRPr="54C14231" w:rsidR="3DB991FF">
        <w:rPr>
          <w:rFonts w:ascii="Arial" w:hAnsi="Arial" w:cs="Arial"/>
          <w:b w:val="1"/>
          <w:bCs w:val="1"/>
          <w:sz w:val="26"/>
          <w:szCs w:val="26"/>
        </w:rPr>
        <w:t>2023</w:t>
      </w:r>
      <w:r w:rsidRPr="54C14231" w:rsidR="5F96C9E2">
        <w:rPr>
          <w:rFonts w:ascii="Arial" w:hAnsi="Arial" w:cs="Arial"/>
          <w:b w:val="1"/>
          <w:bCs w:val="1"/>
          <w:sz w:val="26"/>
          <w:szCs w:val="26"/>
        </w:rPr>
        <w:t>,</w:t>
      </w:r>
      <w:r w:rsidRPr="54C14231" w:rsidR="3DB991FF">
        <w:rPr>
          <w:rFonts w:ascii="Arial" w:hAnsi="Arial" w:cs="Arial"/>
          <w:b w:val="1"/>
          <w:bCs w:val="1"/>
          <w:sz w:val="26"/>
          <w:szCs w:val="26"/>
        </w:rPr>
        <w:t xml:space="preserve"> </w:t>
      </w:r>
      <w:r w:rsidRPr="54C14231" w:rsidR="1CFD05CD">
        <w:rPr>
          <w:rFonts w:ascii="Arial" w:hAnsi="Arial" w:cs="Arial"/>
          <w:b w:val="1"/>
          <w:bCs w:val="1"/>
          <w:sz w:val="26"/>
          <w:szCs w:val="26"/>
        </w:rPr>
        <w:t>o</w:t>
      </w:r>
      <w:r w:rsidRPr="54C14231" w:rsidR="383903CB">
        <w:rPr>
          <w:rFonts w:ascii="Arial" w:hAnsi="Arial" w:cs="Arial"/>
          <w:b w:val="1"/>
          <w:bCs w:val="1"/>
          <w:sz w:val="26"/>
          <w:szCs w:val="26"/>
        </w:rPr>
        <w:t xml:space="preserve">bjem </w:t>
      </w:r>
      <w:r w:rsidRPr="54C14231" w:rsidR="00BA2004">
        <w:rPr>
          <w:rFonts w:ascii="Arial" w:hAnsi="Arial" w:cs="Arial"/>
          <w:b w:val="1"/>
          <w:bCs w:val="1"/>
          <w:sz w:val="26"/>
          <w:szCs w:val="26"/>
        </w:rPr>
        <w:t xml:space="preserve">i počet </w:t>
      </w:r>
      <w:r w:rsidRPr="54C14231" w:rsidR="0D23EB31">
        <w:rPr>
          <w:rFonts w:ascii="Arial" w:hAnsi="Arial" w:cs="Arial"/>
          <w:b w:val="1"/>
          <w:bCs w:val="1"/>
          <w:sz w:val="26"/>
          <w:szCs w:val="26"/>
        </w:rPr>
        <w:t>transakcí</w:t>
      </w:r>
      <w:r w:rsidRPr="54C14231" w:rsidR="58803E62">
        <w:rPr>
          <w:rFonts w:ascii="Arial" w:hAnsi="Arial" w:cs="Arial"/>
          <w:b w:val="1"/>
          <w:bCs w:val="1"/>
          <w:sz w:val="26"/>
          <w:szCs w:val="26"/>
        </w:rPr>
        <w:t xml:space="preserve"> </w:t>
      </w:r>
      <w:r w:rsidRPr="54C14231" w:rsidR="00BA2004">
        <w:rPr>
          <w:rFonts w:ascii="Arial" w:hAnsi="Arial" w:cs="Arial"/>
          <w:b w:val="1"/>
          <w:bCs w:val="1"/>
          <w:sz w:val="26"/>
          <w:szCs w:val="26"/>
        </w:rPr>
        <w:t xml:space="preserve">v ČR meziročně stoupl </w:t>
      </w:r>
    </w:p>
    <w:p w:rsidRPr="007A39B8" w:rsidR="007A39B8" w:rsidP="007A39B8" w:rsidRDefault="007A39B8" w14:paraId="5CA8CB40" w14:textId="77777777">
      <w:pPr>
        <w:pStyle w:val="Default"/>
        <w:spacing w:line="264" w:lineRule="auto"/>
        <w:jc w:val="both"/>
        <w:rPr>
          <w:rFonts w:eastAsia="Times New Roman"/>
          <w:b/>
          <w:bCs/>
          <w:sz w:val="28"/>
          <w:szCs w:val="28"/>
          <w:lang w:eastAsia="cs-CZ"/>
        </w:rPr>
      </w:pPr>
    </w:p>
    <w:p w:rsidRPr="00BA2004" w:rsidR="00BA2004" w:rsidP="00BA2004" w:rsidRDefault="00BA2004" w14:paraId="15C2D764" w14:textId="07A251DD">
      <w:pPr>
        <w:pStyle w:val="Default"/>
        <w:spacing w:line="264" w:lineRule="auto"/>
        <w:jc w:val="both"/>
        <w:rPr>
          <w:rFonts w:eastAsia="Times New Roman"/>
          <w:b/>
          <w:bCs/>
          <w:lang w:eastAsia="cs-CZ"/>
        </w:rPr>
      </w:pPr>
      <w:r w:rsidRPr="00BA2004">
        <w:rPr>
          <w:rFonts w:eastAsia="Times New Roman"/>
          <w:b/>
          <w:bCs/>
          <w:lang w:eastAsia="cs-CZ"/>
        </w:rPr>
        <w:t xml:space="preserve">Počet i objem transakcí na trhu fúzí a akvizic v České republice v letošním třetím čtvrtletí meziročně stoupl. Na území ČR či se zapojením ČR se uskutečnilo 13 transakcí za 1,725 miliardy eur (42,3 miliardy Kč). Za stejné období </w:t>
      </w:r>
      <w:r w:rsidR="00302ABC">
        <w:rPr>
          <w:rFonts w:eastAsia="Times New Roman"/>
          <w:b/>
          <w:bCs/>
          <w:lang w:eastAsia="cs-CZ"/>
        </w:rPr>
        <w:t>loňského roku</w:t>
      </w:r>
      <w:r w:rsidRPr="00BA2004">
        <w:rPr>
          <w:rFonts w:eastAsia="Times New Roman"/>
          <w:b/>
          <w:bCs/>
          <w:lang w:eastAsia="cs-CZ"/>
        </w:rPr>
        <w:t xml:space="preserve"> to bylo osm transakcí za 106 milionů eur (2,6 miliardy Kč). Důvodem výrazného nárůstu objemu transakcí je akvizice společnosti Net4Gas státní společnost</w:t>
      </w:r>
      <w:r w:rsidR="00302ABC">
        <w:rPr>
          <w:rFonts w:eastAsia="Times New Roman"/>
          <w:b/>
          <w:bCs/>
          <w:lang w:eastAsia="cs-CZ"/>
        </w:rPr>
        <w:t>í</w:t>
      </w:r>
      <w:r w:rsidRPr="00BA2004">
        <w:rPr>
          <w:rFonts w:eastAsia="Times New Roman"/>
          <w:b/>
          <w:bCs/>
          <w:lang w:eastAsia="cs-CZ"/>
        </w:rPr>
        <w:t xml:space="preserve"> ČEPS.</w:t>
      </w:r>
      <w:r w:rsidR="00A77597">
        <w:rPr>
          <w:rFonts w:eastAsia="Times New Roman"/>
          <w:b/>
          <w:bCs/>
          <w:lang w:eastAsia="cs-CZ"/>
        </w:rPr>
        <w:t xml:space="preserve"> </w:t>
      </w:r>
      <w:r w:rsidRPr="00A77597" w:rsidR="00A77597">
        <w:rPr>
          <w:rFonts w:eastAsia="Times New Roman"/>
          <w:b/>
          <w:bCs/>
          <w:lang w:eastAsia="cs-CZ"/>
        </w:rPr>
        <w:t xml:space="preserve">Největší objem transakcí se v ČR uskutečnil v odvětví </w:t>
      </w:r>
      <w:r w:rsidR="00A77597">
        <w:rPr>
          <w:rFonts w:eastAsia="Times New Roman"/>
          <w:b/>
          <w:bCs/>
          <w:lang w:eastAsia="cs-CZ"/>
        </w:rPr>
        <w:t>energetiky</w:t>
      </w:r>
      <w:r w:rsidRPr="00A77597" w:rsidR="00A77597">
        <w:rPr>
          <w:rFonts w:eastAsia="Times New Roman"/>
          <w:b/>
          <w:bCs/>
          <w:lang w:eastAsia="cs-CZ"/>
        </w:rPr>
        <w:t xml:space="preserve">. </w:t>
      </w:r>
      <w:r w:rsidRPr="00BA2004">
        <w:rPr>
          <w:rFonts w:eastAsia="Times New Roman"/>
          <w:b/>
          <w:bCs/>
          <w:lang w:eastAsia="cs-CZ"/>
        </w:rPr>
        <w:t xml:space="preserve"> Vyplývá to ze statistik poradenské společnosti TPA.</w:t>
      </w:r>
    </w:p>
    <w:p w:rsidR="007B4CB7" w:rsidP="007A39B8" w:rsidRDefault="007B4CB7" w14:paraId="61FBAEA5" w14:textId="0F67CC1B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</w:p>
    <w:p w:rsidRPr="00BA2004" w:rsidR="00BA2004" w:rsidP="00BA2004" w:rsidRDefault="00BA2004" w14:paraId="62C98EA6" w14:textId="04D7E5E6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2BCA5C77" w:rsidR="00BA2004">
        <w:rPr>
          <w:rFonts w:eastAsia="Times New Roman"/>
          <w:sz w:val="22"/>
          <w:szCs w:val="22"/>
          <w:lang w:eastAsia="cs-CZ"/>
        </w:rPr>
        <w:t>Prodej společnosti Net4Gas byl nejvýznamnější zveřejněnou transakcí na území</w:t>
      </w:r>
      <w:r w:rsidRPr="2BCA5C77" w:rsidR="1619BCF7">
        <w:rPr>
          <w:rFonts w:eastAsia="Times New Roman"/>
          <w:sz w:val="22"/>
          <w:szCs w:val="22"/>
          <w:lang w:eastAsia="cs-CZ"/>
        </w:rPr>
        <w:t xml:space="preserve"> </w:t>
      </w:r>
      <w:r w:rsidRPr="2BCA5C77" w:rsidR="00BA2004">
        <w:rPr>
          <w:rFonts w:eastAsia="Times New Roman"/>
          <w:sz w:val="22"/>
          <w:szCs w:val="22"/>
          <w:lang w:eastAsia="cs-CZ"/>
        </w:rPr>
        <w:t xml:space="preserve">ČR a zároveň třetí největší v regionu. </w:t>
      </w:r>
      <w:r w:rsidRPr="2BCA5C77" w:rsidR="00BA2004">
        <w:rPr>
          <w:rFonts w:eastAsia="Times New Roman"/>
          <w:i w:val="1"/>
          <w:iCs w:val="1"/>
          <w:sz w:val="22"/>
          <w:szCs w:val="22"/>
          <w:lang w:eastAsia="cs-CZ"/>
        </w:rPr>
        <w:t xml:space="preserve">„Transakce je součástí strategie vlády ČR v oblasti zajištění energetické bezpečnosti země. Přepravní soustava společnosti Net4Gas by měla být rovněž součástí důležitého vodíkového koridoru. Kromě Net4Gas akvíroval stát skrze ČEPS rovněž i největšího tuzemského provozovatele podzemních zásobníků plynu RWE </w:t>
      </w:r>
      <w:r w:rsidRPr="2BCA5C77" w:rsidR="00BA2004">
        <w:rPr>
          <w:rFonts w:eastAsia="Times New Roman"/>
          <w:i w:val="1"/>
          <w:iCs w:val="1"/>
          <w:sz w:val="22"/>
          <w:szCs w:val="22"/>
          <w:lang w:eastAsia="cs-CZ"/>
        </w:rPr>
        <w:t>Gas</w:t>
      </w:r>
      <w:r w:rsidRPr="2BCA5C77" w:rsidR="00BA2004">
        <w:rPr>
          <w:rFonts w:eastAsia="Times New Roman"/>
          <w:i w:val="1"/>
          <w:iCs w:val="1"/>
          <w:sz w:val="22"/>
          <w:szCs w:val="22"/>
          <w:lang w:eastAsia="cs-CZ"/>
        </w:rPr>
        <w:t xml:space="preserve"> </w:t>
      </w:r>
      <w:r w:rsidRPr="2BCA5C77" w:rsidR="00BA2004">
        <w:rPr>
          <w:rFonts w:eastAsia="Times New Roman"/>
          <w:i w:val="1"/>
          <w:iCs w:val="1"/>
          <w:sz w:val="22"/>
          <w:szCs w:val="22"/>
          <w:lang w:eastAsia="cs-CZ"/>
        </w:rPr>
        <w:t>Storage</w:t>
      </w:r>
      <w:r w:rsidRPr="2BCA5C77" w:rsidR="00BA2004">
        <w:rPr>
          <w:rFonts w:eastAsia="Times New Roman"/>
          <w:i w:val="1"/>
          <w:iCs w:val="1"/>
          <w:sz w:val="22"/>
          <w:szCs w:val="22"/>
          <w:lang w:eastAsia="cs-CZ"/>
        </w:rPr>
        <w:t xml:space="preserve"> CZ</w:t>
      </w:r>
      <w:r w:rsidRPr="2BCA5C77" w:rsidR="00BA2004">
        <w:rPr>
          <w:rFonts w:eastAsia="Times New Roman"/>
          <w:sz w:val="22"/>
          <w:szCs w:val="22"/>
          <w:lang w:eastAsia="cs-CZ"/>
        </w:rPr>
        <w:t>,</w:t>
      </w:r>
      <w:r w:rsidRPr="2BCA5C77" w:rsidR="00BA2004">
        <w:rPr>
          <w:rFonts w:eastAsia="Times New Roman"/>
          <w:i w:val="1"/>
          <w:iCs w:val="1"/>
          <w:sz w:val="22"/>
          <w:szCs w:val="22"/>
          <w:lang w:eastAsia="cs-CZ"/>
        </w:rPr>
        <w:t xml:space="preserve">“ </w:t>
      </w:r>
      <w:r w:rsidRPr="2BCA5C77" w:rsidR="00BA2004">
        <w:rPr>
          <w:rFonts w:eastAsia="Times New Roman"/>
          <w:sz w:val="22"/>
          <w:szCs w:val="22"/>
          <w:lang w:eastAsia="cs-CZ"/>
        </w:rPr>
        <w:t xml:space="preserve">uvedl </w:t>
      </w:r>
      <w:r w:rsidRPr="2BCA5C77" w:rsidR="00BA2004">
        <w:rPr>
          <w:sz w:val="22"/>
          <w:szCs w:val="22"/>
        </w:rPr>
        <w:t xml:space="preserve">Jiří Hlaváč partner TPA </w:t>
      </w:r>
      <w:r w:rsidRPr="2BCA5C77" w:rsidR="00BA2004">
        <w:rPr>
          <w:sz w:val="22"/>
          <w:szCs w:val="22"/>
        </w:rPr>
        <w:t>Valuation</w:t>
      </w:r>
      <w:r w:rsidRPr="2BCA5C77" w:rsidR="00BA2004">
        <w:rPr>
          <w:sz w:val="22"/>
          <w:szCs w:val="22"/>
        </w:rPr>
        <w:t xml:space="preserve"> &amp; Advisory</w:t>
      </w:r>
      <w:r w:rsidRPr="2BCA5C77" w:rsidR="00BA2004">
        <w:rPr>
          <w:rFonts w:eastAsia="Times New Roman"/>
          <w:sz w:val="22"/>
          <w:szCs w:val="22"/>
          <w:lang w:eastAsia="cs-CZ"/>
        </w:rPr>
        <w:t>.</w:t>
      </w:r>
    </w:p>
    <w:p w:rsidRPr="007A39B8" w:rsidR="7FA497D7" w:rsidP="007A39B8" w:rsidRDefault="7FA497D7" w14:paraId="7D226C75" w14:textId="4940225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Pr="00A77597" w:rsidR="00A77597" w:rsidP="00A77597" w:rsidRDefault="00A77597" w14:paraId="5946B330" w14:textId="7777777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A77597">
        <w:rPr>
          <w:rFonts w:eastAsia="Times New Roman"/>
          <w:sz w:val="22"/>
          <w:szCs w:val="22"/>
          <w:lang w:eastAsia="cs-CZ"/>
        </w:rPr>
        <w:t>V celém středoevropském regionu (Albánie, Bulharsko, Černá Hora, Česká republika, Chorvatsko, Maďarsko, Polsko, Rakousko, Rumunsko, Slovensko, Slovinsko a Srbsko) TPA registruje meziroční pokles počtu transakcí o zhruba 18 procent na 152. Jejich objem klesl meziročně o 21 procent na 11,1 miliardy eur (272 miliard Kč). Nejvíce transakcí a transakce s největším objemem byly zaznamenány opět v Polsku.</w:t>
      </w:r>
    </w:p>
    <w:p w:rsidRPr="007A39B8" w:rsidR="007B4CB7" w:rsidP="007A39B8" w:rsidRDefault="007B4CB7" w14:paraId="59438FD2" w14:textId="42146BD2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Pr="00A77597" w:rsidR="00A77597" w:rsidP="00A77597" w:rsidRDefault="00A77597" w14:paraId="0C28C218" w14:textId="15A268A6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A77597">
        <w:rPr>
          <w:rFonts w:eastAsia="Times New Roman"/>
          <w:sz w:val="22"/>
          <w:szCs w:val="22"/>
          <w:lang w:eastAsia="cs-CZ"/>
        </w:rPr>
        <w:t>Nejvýznamnější zveřejněnou transakcí v celém regionu byl ve třetím čtvrtletí prodej 50</w:t>
      </w:r>
      <w:r>
        <w:rPr>
          <w:rFonts w:eastAsia="Times New Roman"/>
          <w:sz w:val="22"/>
          <w:szCs w:val="22"/>
          <w:lang w:eastAsia="cs-CZ"/>
        </w:rPr>
        <w:t xml:space="preserve">% </w:t>
      </w:r>
      <w:r w:rsidRPr="00A77597">
        <w:rPr>
          <w:rFonts w:eastAsia="Times New Roman"/>
          <w:sz w:val="22"/>
          <w:szCs w:val="22"/>
          <w:lang w:eastAsia="cs-CZ"/>
        </w:rPr>
        <w:t xml:space="preserve">podílu v PPF Telecom Group, konkrétně aktiv na území Bulharska, Maďarska, Slovenska a Srbska, globální technologické společnosti Emirates Telecommunication Group. </w:t>
      </w:r>
    </w:p>
    <w:p w:rsidRPr="007A39B8" w:rsidR="007B4CB7" w:rsidP="007A39B8" w:rsidRDefault="007B4CB7" w14:paraId="00AF505B" w14:textId="5FF5E038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Pr="00A77597" w:rsidR="00A77597" w:rsidP="00A77597" w:rsidRDefault="00A77597" w14:paraId="19DCF364" w14:textId="34D52DA5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A77597">
        <w:rPr>
          <w:rFonts w:eastAsia="Times New Roman"/>
          <w:sz w:val="22"/>
          <w:szCs w:val="22"/>
          <w:lang w:eastAsia="cs-CZ"/>
        </w:rPr>
        <w:t>Ve srovnání s druhým čtvrtletím letošního roku v celém regionu klesl počet transakcí o 78. Naopak jejich objem stoupl o zhruba 2,9 miliardy eur. V Česku počet transakcí mezičtvrtletně klesl o 14, při nárůstu objemu o 848 milionů eur (877 milionů eur ve 2. čtvrtletí vs. 1,725 miliardy eur v</w:t>
      </w:r>
      <w:r w:rsidR="00034EAB">
        <w:rPr>
          <w:rFonts w:eastAsia="Times New Roman"/>
          <w:sz w:val="22"/>
          <w:szCs w:val="22"/>
          <w:lang w:eastAsia="cs-CZ"/>
        </w:rPr>
        <w:t>e</w:t>
      </w:r>
      <w:r w:rsidRPr="00A77597">
        <w:rPr>
          <w:rFonts w:eastAsia="Times New Roman"/>
          <w:sz w:val="22"/>
          <w:szCs w:val="22"/>
          <w:lang w:eastAsia="cs-CZ"/>
        </w:rPr>
        <w:t xml:space="preserve"> 3. čtvrtletí).</w:t>
      </w:r>
    </w:p>
    <w:p w:rsidRPr="007A39B8" w:rsidR="007A39B8" w:rsidP="007A39B8" w:rsidRDefault="007A39B8" w14:paraId="622C5243" w14:textId="77777777">
      <w:pPr>
        <w:pStyle w:val="Default"/>
        <w:spacing w:line="264" w:lineRule="auto"/>
        <w:jc w:val="both"/>
        <w:rPr>
          <w:sz w:val="22"/>
          <w:szCs w:val="22"/>
        </w:rPr>
      </w:pPr>
    </w:p>
    <w:p w:rsidRPr="00034EAB" w:rsidR="00034EAB" w:rsidP="00034EAB" w:rsidRDefault="00034EAB" w14:paraId="691FE0E6" w14:textId="12A72FFD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>
        <w:rPr>
          <w:rFonts w:eastAsia="Times New Roman"/>
          <w:sz w:val="22"/>
          <w:szCs w:val="22"/>
          <w:lang w:eastAsia="cs-CZ"/>
        </w:rPr>
        <w:t>Situaci</w:t>
      </w:r>
      <w:r w:rsidRPr="00034EAB">
        <w:rPr>
          <w:rFonts w:eastAsia="Times New Roman"/>
          <w:sz w:val="22"/>
          <w:szCs w:val="22"/>
          <w:lang w:eastAsia="cs-CZ"/>
        </w:rPr>
        <w:t xml:space="preserve"> na trhu fúzí a akvizic nadále ovlivňuje válka na Ukrajině, která je pro potenciální investory pokračujícím omezením v podobě nejistoty budoucího vývoje v různých odvětvích v celém regionu. </w:t>
      </w:r>
      <w:r w:rsidRPr="00034EAB">
        <w:rPr>
          <w:rFonts w:eastAsia="Times New Roman"/>
          <w:i/>
          <w:iCs/>
          <w:sz w:val="22"/>
          <w:szCs w:val="22"/>
          <w:lang w:eastAsia="cs-CZ"/>
        </w:rPr>
        <w:t>„Nicméně objemy transakcí dosažených v třetím kvartálu naznačují oživení na trhu v regionu CEE v roce 2023. Pro investory jsou atraktivní sektory počítačového softwaru, automatizace, digitalizace a robotizace či telekomunikací, zvýšen</w:t>
      </w:r>
      <w:r w:rsidR="00CC1656">
        <w:rPr>
          <w:rFonts w:eastAsia="Times New Roman"/>
          <w:i/>
          <w:iCs/>
          <w:sz w:val="22"/>
          <w:szCs w:val="22"/>
          <w:lang w:eastAsia="cs-CZ"/>
        </w:rPr>
        <w:t>ý</w:t>
      </w:r>
      <w:r w:rsidRPr="00034EAB">
        <w:rPr>
          <w:rFonts w:eastAsia="Times New Roman"/>
          <w:i/>
          <w:iCs/>
          <w:sz w:val="22"/>
          <w:szCs w:val="22"/>
          <w:lang w:eastAsia="cs-CZ"/>
        </w:rPr>
        <w:t xml:space="preserve"> </w:t>
      </w:r>
      <w:r w:rsidR="00CC1656">
        <w:rPr>
          <w:rFonts w:eastAsia="Times New Roman"/>
          <w:i/>
          <w:iCs/>
          <w:sz w:val="22"/>
          <w:szCs w:val="22"/>
          <w:lang w:eastAsia="cs-CZ"/>
        </w:rPr>
        <w:t>zájem</w:t>
      </w:r>
      <w:r w:rsidRPr="00034EAB">
        <w:rPr>
          <w:rFonts w:eastAsia="Times New Roman"/>
          <w:i/>
          <w:iCs/>
          <w:sz w:val="22"/>
          <w:szCs w:val="22"/>
          <w:lang w:eastAsia="cs-CZ"/>
        </w:rPr>
        <w:t xml:space="preserve"> zůstává v oblast</w:t>
      </w:r>
      <w:r w:rsidR="00CC1656">
        <w:rPr>
          <w:rFonts w:eastAsia="Times New Roman"/>
          <w:i/>
          <w:iCs/>
          <w:sz w:val="22"/>
          <w:szCs w:val="22"/>
          <w:lang w:eastAsia="cs-CZ"/>
        </w:rPr>
        <w:t>ech</w:t>
      </w:r>
      <w:r w:rsidRPr="00034EAB">
        <w:rPr>
          <w:rFonts w:eastAsia="Times New Roman"/>
          <w:i/>
          <w:iCs/>
          <w:sz w:val="22"/>
          <w:szCs w:val="22"/>
          <w:lang w:eastAsia="cs-CZ"/>
        </w:rPr>
        <w:t xml:space="preserve"> energetiky,“</w:t>
      </w:r>
      <w:r w:rsidRPr="00034EAB">
        <w:rPr>
          <w:rFonts w:eastAsia="Times New Roman"/>
          <w:sz w:val="22"/>
          <w:szCs w:val="22"/>
          <w:lang w:eastAsia="cs-CZ"/>
        </w:rPr>
        <w:t xml:space="preserve"> </w:t>
      </w:r>
      <w:r w:rsidR="00CC1656">
        <w:rPr>
          <w:rFonts w:eastAsia="Times New Roman"/>
          <w:sz w:val="22"/>
          <w:szCs w:val="22"/>
          <w:lang w:eastAsia="cs-CZ"/>
        </w:rPr>
        <w:t>doplnil Jiří Hlaváč.</w:t>
      </w:r>
    </w:p>
    <w:p w:rsidRPr="001F501D" w:rsidR="007B4CB7" w:rsidP="007A39B8" w:rsidRDefault="007B4CB7" w14:paraId="1C0DEB52" w14:textId="7C2CE002">
      <w:pPr>
        <w:pStyle w:val="Default"/>
        <w:spacing w:line="264" w:lineRule="auto"/>
        <w:jc w:val="both"/>
        <w:rPr>
          <w:rFonts w:eastAsia="Times New Roman" w:asciiTheme="minorHAnsi" w:hAnsiTheme="minorHAnsi" w:cstheme="minorBidi"/>
          <w:lang w:eastAsia="cs-CZ"/>
        </w:rPr>
      </w:pPr>
    </w:p>
    <w:p w:rsidR="00021254" w:rsidP="003916F2" w:rsidRDefault="00021254" w14:paraId="368A6582" w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:rsidRPr="007A39B8" w:rsidR="00EB1C5A" w:rsidP="007A39B8" w:rsidRDefault="00EB1C5A" w14:paraId="766502C4" w14:textId="77777777">
      <w:pPr>
        <w:pStyle w:val="F2-zkladn"/>
        <w:tabs>
          <w:tab w:val="right" w:pos="9070"/>
        </w:tabs>
        <w:spacing w:before="0" w:line="264" w:lineRule="auto"/>
        <w:rPr>
          <w:b/>
        </w:rPr>
      </w:pPr>
      <w:r w:rsidRPr="007A39B8">
        <w:rPr>
          <w:b/>
        </w:rPr>
        <w:t>Pro více informací kontaktujte:</w:t>
      </w:r>
    </w:p>
    <w:p w:rsidRPr="007A39B8" w:rsidR="00EB1C5A" w:rsidP="007A39B8" w:rsidRDefault="002A3294" w14:paraId="1C28118A" w14:textId="73FE04A0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Kamila Žitnáková</w:t>
      </w:r>
    </w:p>
    <w:p w:rsidRPr="007A39B8" w:rsidR="00EB1C5A" w:rsidP="007A39B8" w:rsidRDefault="00EB1C5A" w14:paraId="4835AA2F" w14:textId="77777777">
      <w:pPr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r w:rsidRPr="007A39B8">
        <w:rPr>
          <w:rFonts w:ascii="Arial" w:hAnsi="Arial" w:cs="Arial"/>
          <w:b/>
          <w:bCs/>
          <w:sz w:val="20"/>
          <w:szCs w:val="20"/>
        </w:rPr>
        <w:t>Crest Communications, a.s.</w:t>
      </w:r>
    </w:p>
    <w:p w:rsidRPr="007A39B8" w:rsidR="00EB1C5A" w:rsidP="007A39B8" w:rsidRDefault="00EB1C5A" w14:paraId="4DCE98C0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Ostrovní 126/30</w:t>
      </w:r>
    </w:p>
    <w:p w:rsidRPr="007A39B8" w:rsidR="00EB1C5A" w:rsidP="007A39B8" w:rsidRDefault="00EB1C5A" w14:paraId="09C6E920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110 00 Praha 1</w:t>
      </w:r>
    </w:p>
    <w:p w:rsidRPr="007A39B8" w:rsidR="00EB1C5A" w:rsidP="007A39B8" w:rsidRDefault="00EB1C5A" w14:paraId="2EEA2F44" w14:textId="5E276D42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 xml:space="preserve">gsm: + 420 </w:t>
      </w:r>
      <w:r w:rsidRPr="007A39B8" w:rsidR="003D5F96">
        <w:rPr>
          <w:rFonts w:ascii="Arial" w:hAnsi="Arial" w:cs="Arial"/>
          <w:sz w:val="20"/>
          <w:szCs w:val="20"/>
        </w:rPr>
        <w:t>725 544 106</w:t>
      </w:r>
    </w:p>
    <w:p w:rsidRPr="007A39B8" w:rsidR="00EB1C5A" w:rsidP="007A39B8" w:rsidRDefault="00000000" w14:paraId="692417D8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Pr="007A39B8" w:rsidR="00EB1C5A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:rsidRPr="007A39B8" w:rsidR="00316D20" w:rsidP="007A39B8" w:rsidRDefault="00EB1C5A" w14:paraId="28B3B900" w14:textId="5CDD139B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7A39B8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w:history="1" r:id="rId10">
        <w:r w:rsidRPr="007A39B8" w:rsidR="002A3294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:rsidR="002A3294" w:rsidP="007A39B8" w:rsidRDefault="002A3294" w14:paraId="0C9BF7BF" w14:textId="77777777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:rsidRPr="007A39B8" w:rsidR="007A39B8" w:rsidP="007A39B8" w:rsidRDefault="007A39B8" w14:paraId="02B11144" w14:textId="77777777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:rsidRPr="007A39B8" w:rsidR="005A2DC0" w:rsidP="007A39B8" w:rsidRDefault="00EB1C5A" w14:paraId="11CCEE53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b/>
          <w:sz w:val="20"/>
          <w:szCs w:val="20"/>
        </w:rPr>
        <w:t>Informace pro editory:</w:t>
      </w:r>
    </w:p>
    <w:p w:rsidRPr="007A39B8" w:rsidR="005A2DC0" w:rsidP="007A39B8" w:rsidRDefault="005A2DC0" w14:paraId="7DDF97E7" w14:textId="77777777">
      <w:pPr>
        <w:pStyle w:val="F2-zkladn"/>
        <w:spacing w:before="0" w:line="264" w:lineRule="auto"/>
        <w:rPr>
          <w:b/>
        </w:rPr>
      </w:pPr>
    </w:p>
    <w:p w:rsidR="00EB1C5A" w:rsidP="007A39B8" w:rsidRDefault="00EB1C5A" w14:paraId="05D36A23" w14:textId="77777777">
      <w:pPr>
        <w:pStyle w:val="F2-zkladn"/>
        <w:spacing w:before="0" w:line="264" w:lineRule="auto"/>
      </w:pPr>
      <w:r w:rsidRPr="007A39B8">
        <w:t xml:space="preserve">Skupina </w:t>
      </w:r>
      <w:r w:rsidRPr="007A39B8">
        <w:rPr>
          <w:b/>
        </w:rPr>
        <w:t>TPA Group</w:t>
      </w:r>
      <w:r w:rsidRPr="007A39B8">
        <w:t xml:space="preserve"> poskytuje v České republice své služby od roku </w:t>
      </w:r>
      <w:smartTag w:uri="urn:schemas-microsoft-com:office:smarttags" w:element="metricconverter">
        <w:smartTagPr>
          <w:attr w:name="ProductID" w:val="1993 a"/>
        </w:smartTagPr>
        <w:r w:rsidRPr="007A39B8">
          <w:t>1993 a</w:t>
        </w:r>
      </w:smartTag>
      <w:r w:rsidRPr="007A39B8">
        <w:t xml:space="preserve"> působí celkem v</w:t>
      </w:r>
      <w:r w:rsidRPr="007A39B8" w:rsidR="00483CC4">
        <w:t>e dvanácti</w:t>
      </w:r>
      <w:r w:rsidRPr="007A39B8">
        <w:t xml:space="preserve"> zemích střední a jihovýchodní Evropy. </w:t>
      </w:r>
      <w:r w:rsidRPr="007A39B8" w:rsidR="009B0DF4">
        <w:t xml:space="preserve">Poskytuje služby zejména v oblastech daňově poradenství, vedení účetnictví, auditu, oceňování a poradenství při akvizicích. </w:t>
      </w:r>
      <w:r w:rsidRPr="007A39B8">
        <w:t xml:space="preserve"> Zaměřuje se především na korporátní klienty podnikající na mezinárodní úrovni v oblasti střední a jihovýchodní Evropy. Skupina TPA Group je nezávislým členem aliance</w:t>
      </w:r>
      <w:r w:rsidRPr="007A39B8">
        <w:rPr>
          <w:b/>
        </w:rPr>
        <w:t xml:space="preserve"> Baker Tilly Europe Alliance</w:t>
      </w:r>
      <w:r w:rsidRPr="007A39B8">
        <w:t xml:space="preserve">, jejímiž dalšími členy je celosvětová poradenská síť </w:t>
      </w:r>
      <w:hyperlink w:history="1" r:id="rId11">
        <w:r w:rsidRPr="007A39B8">
          <w:rPr>
            <w:rStyle w:val="Hypertextovodkaz"/>
            <w:b/>
          </w:rPr>
          <w:t>Baker Tilly International</w:t>
        </w:r>
      </w:hyperlink>
      <w:r w:rsidRPr="007A39B8">
        <w:t xml:space="preserve"> a samostatný člen Baker Tilly International, </w:t>
      </w:r>
      <w:hyperlink w:history="1" r:id="rId12">
        <w:r w:rsidRPr="007A39B8" w:rsidR="00433B9A">
          <w:rPr>
            <w:rStyle w:val="Hypertextovodkaz"/>
            <w:b/>
          </w:rPr>
          <w:t>Baker Tilly</w:t>
        </w:r>
      </w:hyperlink>
      <w:r w:rsidRPr="007A39B8">
        <w:t xml:space="preserve"> v Německu. Díky členství v Baker Tilly Europe Allience nabízí skupina TPA Group svým klientům služby globální sítě Baker Tilly International, která patří do první desítky celosvětových poradenských sítí. </w:t>
      </w:r>
    </w:p>
    <w:p w:rsidRPr="007A39B8" w:rsidR="00BA2004" w:rsidP="007A39B8" w:rsidRDefault="00BA2004" w14:paraId="24B4D0B6" w14:textId="77777777">
      <w:pPr>
        <w:pStyle w:val="F2-zkladn"/>
        <w:spacing w:before="0" w:line="264" w:lineRule="auto"/>
      </w:pPr>
    </w:p>
    <w:p w:rsidR="001272D9" w:rsidRDefault="001272D9" w14:paraId="1A9B85E0" w14:textId="01DD576C"/>
    <w:sectPr w:rsidR="001272D9" w:rsidSect="00316D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 w:orient="portrait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71D5" w:rsidP="00087B0F" w:rsidRDefault="003371D5" w14:paraId="615D37B1" w14:textId="77777777">
      <w:pPr>
        <w:spacing w:after="0" w:line="240" w:lineRule="auto"/>
      </w:pPr>
      <w:r>
        <w:separator/>
      </w:r>
    </w:p>
  </w:endnote>
  <w:endnote w:type="continuationSeparator" w:id="0">
    <w:p w:rsidR="003371D5" w:rsidP="00087B0F" w:rsidRDefault="003371D5" w14:paraId="21B554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4264C443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1B7E5DD5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689B939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71D5" w:rsidP="00087B0F" w:rsidRDefault="003371D5" w14:paraId="4E062307" w14:textId="77777777">
      <w:pPr>
        <w:spacing w:after="0" w:line="240" w:lineRule="auto"/>
      </w:pPr>
      <w:r>
        <w:separator/>
      </w:r>
    </w:p>
  </w:footnote>
  <w:footnote w:type="continuationSeparator" w:id="0">
    <w:p w:rsidR="003371D5" w:rsidP="00087B0F" w:rsidRDefault="003371D5" w14:paraId="6A1F25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542797B2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04800" w:rsidRDefault="004432AB" w14:paraId="4E54D380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FBAF7B" wp14:editId="5D87AFFD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5F15BE73" w14:textId="77777777">
    <w:pPr>
      <w:pStyle w:val="Zhlav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21254"/>
    <w:rsid w:val="00024EB1"/>
    <w:rsid w:val="00034EAB"/>
    <w:rsid w:val="000474F2"/>
    <w:rsid w:val="0005087E"/>
    <w:rsid w:val="00072CA9"/>
    <w:rsid w:val="00087B0F"/>
    <w:rsid w:val="000A2944"/>
    <w:rsid w:val="000B1F52"/>
    <w:rsid w:val="000F648D"/>
    <w:rsid w:val="001272D9"/>
    <w:rsid w:val="00147AAD"/>
    <w:rsid w:val="001514D6"/>
    <w:rsid w:val="001643CE"/>
    <w:rsid w:val="001833EC"/>
    <w:rsid w:val="00190F27"/>
    <w:rsid w:val="001B248E"/>
    <w:rsid w:val="001C0CE4"/>
    <w:rsid w:val="001F387C"/>
    <w:rsid w:val="001F501D"/>
    <w:rsid w:val="002212EA"/>
    <w:rsid w:val="002468A7"/>
    <w:rsid w:val="0027105E"/>
    <w:rsid w:val="002948D0"/>
    <w:rsid w:val="002A3294"/>
    <w:rsid w:val="002A7D37"/>
    <w:rsid w:val="002D4C48"/>
    <w:rsid w:val="002E39E1"/>
    <w:rsid w:val="00302ABC"/>
    <w:rsid w:val="0030704F"/>
    <w:rsid w:val="00307EBA"/>
    <w:rsid w:val="003143B9"/>
    <w:rsid w:val="00316D20"/>
    <w:rsid w:val="003371D5"/>
    <w:rsid w:val="00381597"/>
    <w:rsid w:val="00385385"/>
    <w:rsid w:val="003916F2"/>
    <w:rsid w:val="003B5AE8"/>
    <w:rsid w:val="003D5F96"/>
    <w:rsid w:val="004010C0"/>
    <w:rsid w:val="00410BBE"/>
    <w:rsid w:val="00414BA1"/>
    <w:rsid w:val="00415AAB"/>
    <w:rsid w:val="004321DB"/>
    <w:rsid w:val="00433B9A"/>
    <w:rsid w:val="004432AB"/>
    <w:rsid w:val="00474216"/>
    <w:rsid w:val="00483CC4"/>
    <w:rsid w:val="00494A82"/>
    <w:rsid w:val="004C261B"/>
    <w:rsid w:val="004E2B60"/>
    <w:rsid w:val="004F1F03"/>
    <w:rsid w:val="0051646C"/>
    <w:rsid w:val="0053615C"/>
    <w:rsid w:val="005744B2"/>
    <w:rsid w:val="00590F8E"/>
    <w:rsid w:val="005A2487"/>
    <w:rsid w:val="005A2DC0"/>
    <w:rsid w:val="006271A1"/>
    <w:rsid w:val="00643BFA"/>
    <w:rsid w:val="00650005"/>
    <w:rsid w:val="00667056"/>
    <w:rsid w:val="00677F43"/>
    <w:rsid w:val="006A65B5"/>
    <w:rsid w:val="006A7542"/>
    <w:rsid w:val="006B531A"/>
    <w:rsid w:val="006D4B45"/>
    <w:rsid w:val="006E6C5B"/>
    <w:rsid w:val="006F39F5"/>
    <w:rsid w:val="00704800"/>
    <w:rsid w:val="00734F7E"/>
    <w:rsid w:val="00735B2F"/>
    <w:rsid w:val="00756665"/>
    <w:rsid w:val="00764026"/>
    <w:rsid w:val="00784698"/>
    <w:rsid w:val="00792360"/>
    <w:rsid w:val="007A39B8"/>
    <w:rsid w:val="007B4CB7"/>
    <w:rsid w:val="007B5B26"/>
    <w:rsid w:val="007B5F1E"/>
    <w:rsid w:val="007C65E0"/>
    <w:rsid w:val="007C74F1"/>
    <w:rsid w:val="007D4CFC"/>
    <w:rsid w:val="007E1A19"/>
    <w:rsid w:val="008A6922"/>
    <w:rsid w:val="008C35C6"/>
    <w:rsid w:val="008D30B5"/>
    <w:rsid w:val="008E0CBB"/>
    <w:rsid w:val="00911D3B"/>
    <w:rsid w:val="009312EA"/>
    <w:rsid w:val="009448BF"/>
    <w:rsid w:val="0099767A"/>
    <w:rsid w:val="009A0B16"/>
    <w:rsid w:val="009B0DF4"/>
    <w:rsid w:val="009F6061"/>
    <w:rsid w:val="00A03AEB"/>
    <w:rsid w:val="00A71FE0"/>
    <w:rsid w:val="00A77597"/>
    <w:rsid w:val="00AA1EC4"/>
    <w:rsid w:val="00AA2DB4"/>
    <w:rsid w:val="00AD6570"/>
    <w:rsid w:val="00AF63E5"/>
    <w:rsid w:val="00B121F9"/>
    <w:rsid w:val="00B47281"/>
    <w:rsid w:val="00BA2004"/>
    <w:rsid w:val="00BB2F4F"/>
    <w:rsid w:val="00BC4A3D"/>
    <w:rsid w:val="00BE16A9"/>
    <w:rsid w:val="00BF7D01"/>
    <w:rsid w:val="00C27561"/>
    <w:rsid w:val="00C43F8F"/>
    <w:rsid w:val="00CC1656"/>
    <w:rsid w:val="00CD249C"/>
    <w:rsid w:val="00D01576"/>
    <w:rsid w:val="00D04011"/>
    <w:rsid w:val="00D26944"/>
    <w:rsid w:val="00D4284D"/>
    <w:rsid w:val="00D579C4"/>
    <w:rsid w:val="00D67270"/>
    <w:rsid w:val="00D72C84"/>
    <w:rsid w:val="00D74683"/>
    <w:rsid w:val="00DA18DA"/>
    <w:rsid w:val="00DB6D1B"/>
    <w:rsid w:val="00DC112F"/>
    <w:rsid w:val="00DD06BF"/>
    <w:rsid w:val="00DF5919"/>
    <w:rsid w:val="00DF7E3A"/>
    <w:rsid w:val="00E20A11"/>
    <w:rsid w:val="00E62DFE"/>
    <w:rsid w:val="00E97493"/>
    <w:rsid w:val="00EA436F"/>
    <w:rsid w:val="00EB1C5A"/>
    <w:rsid w:val="00ED4CF4"/>
    <w:rsid w:val="00F230EE"/>
    <w:rsid w:val="00F32BD2"/>
    <w:rsid w:val="00FE255D"/>
    <w:rsid w:val="0239750A"/>
    <w:rsid w:val="024FA9DA"/>
    <w:rsid w:val="026A6F84"/>
    <w:rsid w:val="039DD79F"/>
    <w:rsid w:val="03CB2327"/>
    <w:rsid w:val="04063FE5"/>
    <w:rsid w:val="044554D7"/>
    <w:rsid w:val="061501E2"/>
    <w:rsid w:val="06D76539"/>
    <w:rsid w:val="06DC7D90"/>
    <w:rsid w:val="0702C3E9"/>
    <w:rsid w:val="08049A85"/>
    <w:rsid w:val="0A046E03"/>
    <w:rsid w:val="0A516C91"/>
    <w:rsid w:val="0A56F19F"/>
    <w:rsid w:val="0B427BBE"/>
    <w:rsid w:val="0C2C7BDA"/>
    <w:rsid w:val="0CF067FA"/>
    <w:rsid w:val="0D23EB31"/>
    <w:rsid w:val="0D85A985"/>
    <w:rsid w:val="0D890D53"/>
    <w:rsid w:val="0D8E9261"/>
    <w:rsid w:val="0DA10B06"/>
    <w:rsid w:val="0DB0DAD7"/>
    <w:rsid w:val="0F24DDB4"/>
    <w:rsid w:val="11323DC9"/>
    <w:rsid w:val="11C053D4"/>
    <w:rsid w:val="11E3B63F"/>
    <w:rsid w:val="133C96C0"/>
    <w:rsid w:val="137F86A0"/>
    <w:rsid w:val="13F663EB"/>
    <w:rsid w:val="14920391"/>
    <w:rsid w:val="1498C807"/>
    <w:rsid w:val="149E408F"/>
    <w:rsid w:val="151B5701"/>
    <w:rsid w:val="158504D8"/>
    <w:rsid w:val="15861CC3"/>
    <w:rsid w:val="1597C8AE"/>
    <w:rsid w:val="15CB354F"/>
    <w:rsid w:val="1619BCF7"/>
    <w:rsid w:val="1624654F"/>
    <w:rsid w:val="16B72762"/>
    <w:rsid w:val="17925970"/>
    <w:rsid w:val="1A09D6B1"/>
    <w:rsid w:val="1CFD05CD"/>
    <w:rsid w:val="1E91ED59"/>
    <w:rsid w:val="1FCF06F6"/>
    <w:rsid w:val="20676E1F"/>
    <w:rsid w:val="2081DB9E"/>
    <w:rsid w:val="213A9D77"/>
    <w:rsid w:val="21B6F183"/>
    <w:rsid w:val="21D220E9"/>
    <w:rsid w:val="25D060C8"/>
    <w:rsid w:val="25E70183"/>
    <w:rsid w:val="269E9D6D"/>
    <w:rsid w:val="26F0473F"/>
    <w:rsid w:val="27B88392"/>
    <w:rsid w:val="2808C856"/>
    <w:rsid w:val="28468436"/>
    <w:rsid w:val="2A27E801"/>
    <w:rsid w:val="2AB0D8C5"/>
    <w:rsid w:val="2BA37ED6"/>
    <w:rsid w:val="2BC3B862"/>
    <w:rsid w:val="2BCA5C77"/>
    <w:rsid w:val="2D3F4F37"/>
    <w:rsid w:val="2DF35B6A"/>
    <w:rsid w:val="2EBA6F57"/>
    <w:rsid w:val="2F90391C"/>
    <w:rsid w:val="3211BBAF"/>
    <w:rsid w:val="33576D49"/>
    <w:rsid w:val="338F62FE"/>
    <w:rsid w:val="368BE702"/>
    <w:rsid w:val="36C5D1A3"/>
    <w:rsid w:val="37EA4696"/>
    <w:rsid w:val="37F82A2B"/>
    <w:rsid w:val="3827B763"/>
    <w:rsid w:val="383903CB"/>
    <w:rsid w:val="38785213"/>
    <w:rsid w:val="39DA8FAA"/>
    <w:rsid w:val="3AC8D2A1"/>
    <w:rsid w:val="3DB991FF"/>
    <w:rsid w:val="3F2C8302"/>
    <w:rsid w:val="3F9D8B55"/>
    <w:rsid w:val="40E08CF3"/>
    <w:rsid w:val="41D101FA"/>
    <w:rsid w:val="423EC8DD"/>
    <w:rsid w:val="42F2394B"/>
    <w:rsid w:val="4301EB23"/>
    <w:rsid w:val="43D3917C"/>
    <w:rsid w:val="449DBB84"/>
    <w:rsid w:val="456239FE"/>
    <w:rsid w:val="45A79B91"/>
    <w:rsid w:val="48A55F41"/>
    <w:rsid w:val="4AC1D451"/>
    <w:rsid w:val="4BE28462"/>
    <w:rsid w:val="4D4FA171"/>
    <w:rsid w:val="4E71413D"/>
    <w:rsid w:val="4F582A0F"/>
    <w:rsid w:val="50519165"/>
    <w:rsid w:val="507DE2B2"/>
    <w:rsid w:val="509F80CC"/>
    <w:rsid w:val="50B2ABFC"/>
    <w:rsid w:val="5184E352"/>
    <w:rsid w:val="5219B313"/>
    <w:rsid w:val="5239B5B1"/>
    <w:rsid w:val="52E14C6A"/>
    <w:rsid w:val="54C14231"/>
    <w:rsid w:val="55517EB9"/>
    <w:rsid w:val="57025B1C"/>
    <w:rsid w:val="58803E62"/>
    <w:rsid w:val="5948F6BA"/>
    <w:rsid w:val="595CF70E"/>
    <w:rsid w:val="59BEF68A"/>
    <w:rsid w:val="5B0BF1AE"/>
    <w:rsid w:val="5C12BFD7"/>
    <w:rsid w:val="5CF2FB64"/>
    <w:rsid w:val="5DABD8EA"/>
    <w:rsid w:val="5DDCD4EF"/>
    <w:rsid w:val="5F22C876"/>
    <w:rsid w:val="5F4262A1"/>
    <w:rsid w:val="5F96C9E2"/>
    <w:rsid w:val="603620A7"/>
    <w:rsid w:val="614198F8"/>
    <w:rsid w:val="616E8CBA"/>
    <w:rsid w:val="625BE913"/>
    <w:rsid w:val="6716E0B7"/>
    <w:rsid w:val="68B2B118"/>
    <w:rsid w:val="69249BAF"/>
    <w:rsid w:val="69338280"/>
    <w:rsid w:val="6AE677CF"/>
    <w:rsid w:val="6BD301EF"/>
    <w:rsid w:val="6BD7B542"/>
    <w:rsid w:val="6C9011C9"/>
    <w:rsid w:val="6CBDCFBB"/>
    <w:rsid w:val="6D1443EB"/>
    <w:rsid w:val="6D44F48A"/>
    <w:rsid w:val="6E1A5989"/>
    <w:rsid w:val="6EDA87A2"/>
    <w:rsid w:val="6F1B5F1C"/>
    <w:rsid w:val="714D0E33"/>
    <w:rsid w:val="7340AE06"/>
    <w:rsid w:val="74A41C1E"/>
    <w:rsid w:val="75780BC3"/>
    <w:rsid w:val="75C757B5"/>
    <w:rsid w:val="76A26285"/>
    <w:rsid w:val="77751B1B"/>
    <w:rsid w:val="77E7BF1A"/>
    <w:rsid w:val="789DD256"/>
    <w:rsid w:val="7A56B738"/>
    <w:rsid w:val="7A9EC4E7"/>
    <w:rsid w:val="7B3394A8"/>
    <w:rsid w:val="7C13742E"/>
    <w:rsid w:val="7C25CE9C"/>
    <w:rsid w:val="7DA8AFEC"/>
    <w:rsid w:val="7EEC21A4"/>
    <w:rsid w:val="7EF7B203"/>
    <w:rsid w:val="7FA49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48A7B5"/>
  <w15:chartTrackingRefBased/>
  <w15:docId w15:val="{CB94C65A-AEAA-42C2-B1E6-20340A8E70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styleId="F2-zkladn" w:customStyle="1">
    <w:name w:val="F2 - základní"/>
    <w:link w:val="F2-zkladnCharChar"/>
    <w:rsid w:val="00EB1C5A"/>
    <w:pPr>
      <w:spacing w:before="240" w:line="300" w:lineRule="exact"/>
      <w:jc w:val="both"/>
    </w:pPr>
    <w:rPr>
      <w:rFonts w:ascii="Arial" w:hAnsi="Arial" w:eastAsia="Times New Roman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styleId="F2-zkladnCharChar" w:customStyle="1">
    <w:name w:val="F2 - základní Char Char"/>
    <w:link w:val="F2-zkladn"/>
    <w:rsid w:val="00EB1C5A"/>
    <w:rPr>
      <w:rFonts w:ascii="Arial" w:hAnsi="Arial" w:eastAsia="Times New Roman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rPr>
      <w:sz w:val="20"/>
      <w:szCs w:val="20"/>
    </w:rPr>
  </w:style>
  <w:style w:type="character" w:styleId="TextkomenteChar" w:customStyle="1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Default" w:customStyle="1">
    <w:name w:val="Default"/>
    <w:rsid w:val="00024EB1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68A7"/>
    <w:pPr>
      <w:spacing w:after="0" w:line="240" w:lineRule="auto"/>
    </w:pPr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/>
    <w:rsid w:val="002468A7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468A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531A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6B531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B531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A32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D4CF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bakertilly.de/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bakertillyinternational.com/web/home.aspx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mailto:kamila.zitnakova@crestcom.cz" TargetMode="Externa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4D755-B27C-44A7-AE74-9DCC544A0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7E4DF-B34A-40D8-9B4C-46486313516F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302F43AD-958F-44EB-A16B-30CB75DCE394}"/>
</file>

<file path=customXml/itemProps4.xml><?xml version="1.0" encoding="utf-8"?>
<ds:datastoreItem xmlns:ds="http://schemas.openxmlformats.org/officeDocument/2006/customXml" ds:itemID="{CC8FF66F-A157-442A-8009-5FD2957D1C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Kamila Žitňáková</cp:lastModifiedBy>
  <cp:revision>11</cp:revision>
  <cp:lastPrinted>2016-08-25T19:42:00Z</cp:lastPrinted>
  <dcterms:created xsi:type="dcterms:W3CDTF">2023-07-14T07:44:00Z</dcterms:created>
  <dcterms:modified xsi:type="dcterms:W3CDTF">2023-10-31T12:36:40Z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